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DE7" w:rsidRPr="0099553E" w:rsidRDefault="004C6DE7" w:rsidP="004C6DE7">
      <w:pPr>
        <w:ind w:firstLine="567"/>
        <w:jc w:val="center"/>
        <w:rPr>
          <w:rFonts w:ascii="Times New Roman" w:hAnsi="Times New Roman"/>
          <w:u w:val="single"/>
        </w:rPr>
      </w:pPr>
      <w:r w:rsidRPr="0099553E">
        <w:rPr>
          <w:rFonts w:ascii="Times New Roman" w:hAnsi="Times New Roman"/>
          <w:u w:val="single"/>
        </w:rPr>
        <w:t>4. Реализация имущества в счет погашения долга является объектом налогообложения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Верховный Суд Российской Федерации признал обоснованной позицию налогового органа о том, что реализация имущественного права в счет погашения долга является объектом налогообложения (Определение Верховного Суда Российской Федерации от 11.07.2017 № 302-КГ17-785 по делу № А78-2540/2016).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Судом установлено, что налоговый орган в рамках выездной проверки индивидуального предпринимателя установил, что между ним и обществом с ограниченной ответственностью был заключен договор купли-продажи имущественных прав и обязанностей, по </w:t>
      </w:r>
      <w:proofErr w:type="gramStart"/>
      <w:r w:rsidRPr="0099553E">
        <w:rPr>
          <w:rFonts w:ascii="Times New Roman" w:hAnsi="Times New Roman"/>
        </w:rPr>
        <w:t>которому</w:t>
      </w:r>
      <w:proofErr w:type="gramEnd"/>
      <w:r w:rsidRPr="0099553E">
        <w:rPr>
          <w:rFonts w:ascii="Times New Roman" w:hAnsi="Times New Roman"/>
        </w:rPr>
        <w:t xml:space="preserve"> общество приобретает имущественные права и обязанности арендатора земельного участка.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Взаиморасчет между сторонами осуществлялся с помощью зачетов встречных однородных требований с привлечением третьих лиц, в том числе с использованием зачетных писем, а также перечисления денежных средств на расчетный счет.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 xml:space="preserve">По результатам проверки налоговый орган </w:t>
      </w:r>
      <w:proofErr w:type="spellStart"/>
      <w:r w:rsidRPr="0099553E">
        <w:rPr>
          <w:rFonts w:ascii="Times New Roman" w:hAnsi="Times New Roman"/>
        </w:rPr>
        <w:t>доначислил</w:t>
      </w:r>
      <w:proofErr w:type="spellEnd"/>
      <w:r w:rsidRPr="0099553E">
        <w:rPr>
          <w:rFonts w:ascii="Times New Roman" w:hAnsi="Times New Roman"/>
        </w:rPr>
        <w:t xml:space="preserve"> индивидуальному предпринимателю налоги, пени и штрафы, поскольку реализацию права аренды земельного участка и доход от данной сделки он не учел при исчислении НДС и НДФЛ.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Действия налогового органы были обжалованы индивидуальным предпринимателем в арбитражный суд, который поддержал его требования и признал доначисления необоснованными, указав, что возврат займа путем передачи имущественного права аренды земельного участка не облагается НДС и НДФЛ.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Постановлениями арбитражных судов апелляционной и кассационной инстанций решение арбитражного суда первой инстанции оставлено без изменения.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В кассационной жалобе, поданной в Верховный Суд Российской Федерации, налоговый орган указал, что способы расчетов по договору купли-продажи имущественных прав не имеют правового значения для исчисления НДС и НДФЛ.</w:t>
      </w:r>
    </w:p>
    <w:p w:rsidR="004C6DE7" w:rsidRPr="0099553E" w:rsidRDefault="004C6DE7" w:rsidP="004C6DE7">
      <w:pPr>
        <w:ind w:firstLine="567"/>
        <w:jc w:val="both"/>
        <w:rPr>
          <w:rFonts w:ascii="Times New Roman" w:hAnsi="Times New Roman"/>
        </w:rPr>
      </w:pPr>
      <w:r w:rsidRPr="0099553E">
        <w:rPr>
          <w:rFonts w:ascii="Times New Roman" w:hAnsi="Times New Roman"/>
        </w:rPr>
        <w:t>Судебная коллегия по экономическим спорам Верховного Суда Российской Федерации, поддержав позицию налогового органа, решения судов нижестоящих инстанций отменила.</w:t>
      </w:r>
    </w:p>
    <w:p w:rsidR="006A478A" w:rsidRDefault="006A478A"/>
    <w:sectPr w:rsidR="006A4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6DE7"/>
    <w:rsid w:val="004C6DE7"/>
    <w:rsid w:val="006A4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2017-10-17T07:43:00Z</dcterms:created>
  <dcterms:modified xsi:type="dcterms:W3CDTF">2017-10-17T07:43:00Z</dcterms:modified>
</cp:coreProperties>
</file>